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4ECF4" w14:textId="77777777" w:rsidR="00A10035" w:rsidRDefault="00A10035">
      <w:r>
        <w:rPr>
          <w:noProof/>
          <w:lang w:eastAsia="en-GB"/>
        </w:rPr>
        <mc:AlternateContent>
          <mc:Choice Requires="wps">
            <w:drawing>
              <wp:anchor distT="0" distB="0" distL="114300" distR="114300" simplePos="0" relativeHeight="251659264" behindDoc="0" locked="0" layoutInCell="1" allowOverlap="1" wp14:anchorId="6144ED20" wp14:editId="4A0998D5">
                <wp:simplePos x="0" y="0"/>
                <wp:positionH relativeFrom="margin">
                  <wp:posOffset>742950</wp:posOffset>
                </wp:positionH>
                <wp:positionV relativeFrom="paragraph">
                  <wp:posOffset>11431</wp:posOffset>
                </wp:positionV>
                <wp:extent cx="6583680" cy="998220"/>
                <wp:effectExtent l="0" t="0" r="0" b="0"/>
                <wp:wrapNone/>
                <wp:docPr id="2" name="Text Box 2"/>
                <wp:cNvGraphicFramePr/>
                <a:graphic xmlns:a="http://schemas.openxmlformats.org/drawingml/2006/main">
                  <a:graphicData uri="http://schemas.microsoft.com/office/word/2010/wordprocessingShape">
                    <wps:wsp>
                      <wps:cNvSpPr txBox="1"/>
                      <wps:spPr>
                        <a:xfrm>
                          <a:off x="0" y="0"/>
                          <a:ext cx="6583680" cy="998220"/>
                        </a:xfrm>
                        <a:prstGeom prst="rect">
                          <a:avLst/>
                        </a:prstGeom>
                        <a:noFill/>
                        <a:ln>
                          <a:noFill/>
                        </a:ln>
                      </wps:spPr>
                      <wps:txbx>
                        <w:txbxContent>
                          <w:p w14:paraId="7E346824" w14:textId="4387CBE7" w:rsidR="00964BB7" w:rsidRPr="00964BB7" w:rsidRDefault="00964BB7" w:rsidP="00964BB7">
                            <w:pPr>
                              <w:rPr>
                                <w:b/>
                                <w:noProof/>
                                <w:color w:val="7030A0"/>
                                <w:sz w:val="52"/>
                                <w:szCs w:val="52"/>
                                <w14:textOutline w14:w="11112" w14:cap="flat" w14:cmpd="sng" w14:algn="ctr">
                                  <w14:solidFill>
                                    <w14:srgbClr w14:val="7030A0"/>
                                  </w14:solidFill>
                                  <w14:prstDash w14:val="solid"/>
                                  <w14:round/>
                                </w14:textOutline>
                              </w:rPr>
                            </w:pPr>
                            <w:r>
                              <w:rPr>
                                <w:b/>
                                <w:noProof/>
                                <w:color w:val="7030A0"/>
                                <w:sz w:val="52"/>
                                <w:szCs w:val="52"/>
                                <w14:textOutline w14:w="11112" w14:cap="flat" w14:cmpd="sng" w14:algn="ctr">
                                  <w14:solidFill>
                                    <w14:srgbClr w14:val="7030A0"/>
                                  </w14:solidFill>
                                  <w14:prstDash w14:val="solid"/>
                                  <w14:round/>
                                </w14:textOutline>
                              </w:rPr>
                              <w:t xml:space="preserve">         </w:t>
                            </w:r>
                            <w:r w:rsidRPr="00964BB7">
                              <w:rPr>
                                <w:b/>
                                <w:noProof/>
                                <w:color w:val="7030A0"/>
                                <w:sz w:val="52"/>
                                <w:szCs w:val="52"/>
                                <w14:textOutline w14:w="11112" w14:cap="flat" w14:cmpd="sng" w14:algn="ctr">
                                  <w14:solidFill>
                                    <w14:srgbClr w14:val="7030A0"/>
                                  </w14:solidFill>
                                  <w14:prstDash w14:val="solid"/>
                                  <w14:round/>
                                </w14:textOutline>
                              </w:rPr>
                              <w:t>Ordinarily Available Provision (OAP)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44ED20" id="_x0000_t202" coordsize="21600,21600" o:spt="202" path="m,l,21600r21600,l21600,xe">
                <v:stroke joinstyle="miter"/>
                <v:path gradientshapeok="t" o:connecttype="rect"/>
              </v:shapetype>
              <v:shape id="Text Box 2" o:spid="_x0000_s1026" type="#_x0000_t202" style="position:absolute;margin-left:58.5pt;margin-top:.9pt;width:518.4pt;height:78.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" filled="f" stroked="f">
                <v:textbox>
                  <w:txbxContent>
                    <w:p w14:paraId="7E346824" w14:textId="4387CBE7" w:rsidR="00964BB7" w:rsidRPr="00964BB7" w:rsidRDefault="00964BB7" w:rsidP="00964BB7">
                      <w:pPr>
                        <w:rPr>
                          <w:b/>
                          <w:noProof/>
                          <w:color w:val="7030A0"/>
                          <w:sz w:val="52"/>
                          <w:szCs w:val="52"/>
                          <w14:textOutline w14:w="11112" w14:cap="flat" w14:cmpd="sng" w14:algn="ctr">
                            <w14:solidFill>
                              <w14:srgbClr w14:val="7030A0"/>
                            </w14:solidFill>
                            <w14:prstDash w14:val="solid"/>
                            <w14:round/>
                          </w14:textOutline>
                        </w:rPr>
                      </w:pPr>
                      <w:r>
                        <w:rPr>
                          <w:b/>
                          <w:noProof/>
                          <w:color w:val="7030A0"/>
                          <w:sz w:val="52"/>
                          <w:szCs w:val="52"/>
                          <w14:textOutline w14:w="11112" w14:cap="flat" w14:cmpd="sng" w14:algn="ctr">
                            <w14:solidFill>
                              <w14:srgbClr w14:val="7030A0"/>
                            </w14:solidFill>
                            <w14:prstDash w14:val="solid"/>
                            <w14:round/>
                          </w14:textOutline>
                        </w:rPr>
                        <w:t xml:space="preserve">         </w:t>
                      </w:r>
                      <w:r w:rsidRPr="00964BB7">
                        <w:rPr>
                          <w:b/>
                          <w:noProof/>
                          <w:color w:val="7030A0"/>
                          <w:sz w:val="52"/>
                          <w:szCs w:val="52"/>
                          <w14:textOutline w14:w="11112" w14:cap="flat" w14:cmpd="sng" w14:algn="ctr">
                            <w14:solidFill>
                              <w14:srgbClr w14:val="7030A0"/>
                            </w14:solidFill>
                            <w14:prstDash w14:val="solid"/>
                            <w14:round/>
                          </w14:textOutline>
                        </w:rPr>
                        <w:t>Ordinarily Available Provision (OAP)</w:t>
                      </w:r>
                    </w:p>
                  </w:txbxContent>
                </v:textbox>
                <w10:wrap anchorx="margin"/>
              </v:shape>
            </w:pict>
          </mc:Fallback>
        </mc:AlternateContent>
      </w:r>
      <w:r>
        <w:rPr>
          <w:noProof/>
          <w:lang w:eastAsia="en-GB"/>
        </w:rPr>
        <w:drawing>
          <wp:inline distT="0" distB="0" distL="0" distR="0" wp14:anchorId="6144ED22" wp14:editId="6144ED23">
            <wp:extent cx="1009650" cy="8887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381" cy="892061"/>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10904"/>
      </w:tblGrid>
      <w:tr w:rsidR="00A10035" w14:paraId="6144ECF7" w14:textId="77777777" w:rsidTr="00A10035">
        <w:tc>
          <w:tcPr>
            <w:tcW w:w="10904" w:type="dxa"/>
            <w:shd w:val="clear" w:color="auto" w:fill="D9D9D9" w:themeFill="background1" w:themeFillShade="D9"/>
          </w:tcPr>
          <w:p w14:paraId="6144ECF6" w14:textId="1BEA9237" w:rsidR="00A10035" w:rsidRPr="00780EFD" w:rsidRDefault="00780EFD" w:rsidP="00780EFD">
            <w:pPr>
              <w:jc w:val="center"/>
              <w:rPr>
                <w:b/>
                <w:color w:val="0070C0"/>
                <w:sz w:val="24"/>
                <w:szCs w:val="24"/>
              </w:rPr>
            </w:pPr>
            <w:r>
              <w:rPr>
                <w:b/>
                <w:color w:val="0070C0"/>
                <w:sz w:val="24"/>
                <w:szCs w:val="24"/>
              </w:rPr>
              <w:t xml:space="preserve">Key facts / Information </w:t>
            </w:r>
          </w:p>
        </w:tc>
      </w:tr>
      <w:tr w:rsidR="00A10035" w:rsidRPr="00FF0F35" w14:paraId="6144ECFB" w14:textId="77777777" w:rsidTr="00D42869">
        <w:trPr>
          <w:trHeight w:val="1005"/>
        </w:trPr>
        <w:tc>
          <w:tcPr>
            <w:tcW w:w="10904" w:type="dxa"/>
          </w:tcPr>
          <w:p w14:paraId="6144ECF8" w14:textId="77777777" w:rsidR="000F1A34" w:rsidRPr="00FF0F35" w:rsidRDefault="000F1A34" w:rsidP="00FF0F35">
            <w:pPr>
              <w:jc w:val="both"/>
              <w:rPr>
                <w:rFonts w:cstheme="minorHAnsi"/>
                <w:b/>
                <w:noProof/>
                <w:lang w:eastAsia="en-GB"/>
              </w:rPr>
            </w:pPr>
          </w:p>
          <w:p w14:paraId="6712100B" w14:textId="29D8C604" w:rsidR="00964BB7" w:rsidRPr="00FF0F35" w:rsidRDefault="00964BB7" w:rsidP="00FF0F35">
            <w:pPr>
              <w:jc w:val="both"/>
              <w:rPr>
                <w:rFonts w:cstheme="minorHAnsi"/>
              </w:rPr>
            </w:pPr>
            <w:r w:rsidRPr="00FF0F35">
              <w:rPr>
                <w:rFonts w:cstheme="minorHAnsi"/>
              </w:rPr>
              <w:t>This guide is to help everyone better understand what is available in Thameside for children with special educational needs and/or disabilities (SEND) who do not need an Education, Health and Care (ECH) plan but still need specialist support. We call this support the Ordinarily Available Provision (OAP) and it covers everything you can expect to be available for children and young people with SEND in our school.</w:t>
            </w:r>
          </w:p>
          <w:p w14:paraId="7C3162DD" w14:textId="0DAAA935" w:rsidR="00964BB7" w:rsidRPr="00FF0F35" w:rsidRDefault="00964BB7" w:rsidP="00FF0F35">
            <w:pPr>
              <w:jc w:val="both"/>
              <w:rPr>
                <w:rFonts w:cstheme="minorHAnsi"/>
                <w:b/>
                <w:noProof/>
                <w:lang w:eastAsia="en-GB"/>
              </w:rPr>
            </w:pPr>
          </w:p>
          <w:p w14:paraId="513D2E31" w14:textId="77777777" w:rsidR="00964BB7" w:rsidRPr="00FF0F35" w:rsidRDefault="00964BB7" w:rsidP="00FF0F35">
            <w:pPr>
              <w:jc w:val="both"/>
              <w:rPr>
                <w:rFonts w:cstheme="minorHAnsi"/>
                <w:color w:val="3C3C3B"/>
                <w:shd w:val="clear" w:color="auto" w:fill="FFFFFF"/>
              </w:rPr>
            </w:pPr>
            <w:r w:rsidRPr="00FF0F35">
              <w:rPr>
                <w:rStyle w:val="Strong"/>
                <w:rFonts w:cstheme="minorHAnsi"/>
                <w:color w:val="000000"/>
                <w:shd w:val="clear" w:color="auto" w:fill="FFFFFF"/>
              </w:rPr>
              <w:t>What is ‘ordinarily available provision’</w:t>
            </w:r>
            <w:r w:rsidRPr="00FF0F35">
              <w:rPr>
                <w:rFonts w:cstheme="minorHAnsi"/>
                <w:b/>
                <w:color w:val="3C3C3B"/>
                <w:shd w:val="clear" w:color="auto" w:fill="FFFFFF"/>
              </w:rPr>
              <w:t> (OAP)</w:t>
            </w:r>
          </w:p>
          <w:p w14:paraId="3321FE92" w14:textId="77777777" w:rsidR="00964BB7" w:rsidRPr="00FF0F35" w:rsidRDefault="00964BB7" w:rsidP="00FF0F35">
            <w:pPr>
              <w:jc w:val="both"/>
              <w:rPr>
                <w:rFonts w:cstheme="minorHAnsi"/>
                <w:b/>
                <w:noProof/>
                <w:color w:val="000000" w:themeColor="text1"/>
                <w:lang w:eastAsia="en-GB"/>
              </w:rPr>
            </w:pPr>
            <w:r w:rsidRPr="00FF0F35">
              <w:rPr>
                <w:rFonts w:cstheme="minorHAnsi"/>
                <w:color w:val="000000" w:themeColor="text1"/>
                <w:shd w:val="clear" w:color="auto" w:fill="FFFFFF"/>
              </w:rPr>
              <w:t>OAP is intended to answer the ‘when, what, where, why, who and how’ types of questions you may have about SEND support that should be available.</w:t>
            </w:r>
          </w:p>
          <w:p w14:paraId="6729FF8A" w14:textId="3A2FE8AD" w:rsidR="00964BB7" w:rsidRPr="00FF0F35" w:rsidRDefault="00964BB7" w:rsidP="00FF0F35">
            <w:pPr>
              <w:jc w:val="both"/>
              <w:rPr>
                <w:rFonts w:cstheme="minorHAnsi"/>
                <w:b/>
                <w:noProof/>
                <w:lang w:eastAsia="en-GB"/>
              </w:rPr>
            </w:pPr>
          </w:p>
          <w:p w14:paraId="5AFE132E" w14:textId="0EEF7163" w:rsidR="00964BB7" w:rsidRPr="00FF0F35" w:rsidRDefault="00964BB7" w:rsidP="00FF0F35">
            <w:pPr>
              <w:jc w:val="center"/>
              <w:rPr>
                <w:rFonts w:cstheme="minorHAnsi"/>
                <w:b/>
                <w:noProof/>
                <w:lang w:eastAsia="en-GB"/>
              </w:rPr>
            </w:pPr>
            <w:r w:rsidRPr="00FF0F35">
              <w:rPr>
                <w:rFonts w:cstheme="minorHAnsi"/>
                <w:b/>
                <w:noProof/>
                <w:lang w:eastAsia="en-GB"/>
              </w:rPr>
              <w:drawing>
                <wp:inline distT="0" distB="0" distL="0" distR="0" wp14:anchorId="50F07C54" wp14:editId="657D31E1">
                  <wp:extent cx="4953000" cy="1749248"/>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20E350.tmp"/>
                          <pic:cNvPicPr/>
                        </pic:nvPicPr>
                        <pic:blipFill>
                          <a:blip r:embed="rId9">
                            <a:extLst>
                              <a:ext uri="{28A0092B-C50C-407E-A947-70E740481C1C}">
                                <a14:useLocalDpi xmlns:a14="http://schemas.microsoft.com/office/drawing/2010/main" val="0"/>
                              </a:ext>
                            </a:extLst>
                          </a:blip>
                          <a:stretch>
                            <a:fillRect/>
                          </a:stretch>
                        </pic:blipFill>
                        <pic:spPr>
                          <a:xfrm>
                            <a:off x="0" y="0"/>
                            <a:ext cx="4974522" cy="1756849"/>
                          </a:xfrm>
                          <a:prstGeom prst="rect">
                            <a:avLst/>
                          </a:prstGeom>
                        </pic:spPr>
                      </pic:pic>
                    </a:graphicData>
                  </a:graphic>
                </wp:inline>
              </w:drawing>
            </w:r>
          </w:p>
          <w:p w14:paraId="12DDA4FB" w14:textId="5346CD89" w:rsidR="00964BB7" w:rsidRPr="00FF0F35" w:rsidRDefault="00964BB7" w:rsidP="00FF0F35">
            <w:pPr>
              <w:jc w:val="both"/>
              <w:rPr>
                <w:rFonts w:cstheme="minorHAnsi"/>
                <w:b/>
                <w:noProof/>
                <w:lang w:eastAsia="en-GB"/>
              </w:rPr>
            </w:pPr>
          </w:p>
          <w:p w14:paraId="66E54730" w14:textId="409B75ED" w:rsidR="00964BB7" w:rsidRPr="00FF0F35" w:rsidRDefault="00964BB7" w:rsidP="00FF0F35">
            <w:pPr>
              <w:jc w:val="both"/>
              <w:rPr>
                <w:rFonts w:cstheme="minorHAnsi"/>
                <w:b/>
                <w:noProof/>
                <w:lang w:eastAsia="en-GB"/>
              </w:rPr>
            </w:pPr>
            <w:r w:rsidRPr="00FF0F35">
              <w:rPr>
                <w:rFonts w:cstheme="minorHAnsi"/>
                <w:b/>
                <w:noProof/>
                <w:lang w:eastAsia="en-GB"/>
              </w:rPr>
              <w:t xml:space="preserve">What are Special Educational Needs and Disabilities (SEND)? </w:t>
            </w:r>
          </w:p>
          <w:p w14:paraId="2707E83B" w14:textId="77777777" w:rsidR="004160BB" w:rsidRPr="00FF0F35" w:rsidRDefault="004160BB" w:rsidP="00FF0F35">
            <w:pPr>
              <w:jc w:val="both"/>
              <w:rPr>
                <w:rFonts w:cstheme="minorHAnsi"/>
                <w:b/>
                <w:noProof/>
                <w:lang w:eastAsia="en-GB"/>
              </w:rPr>
            </w:pPr>
          </w:p>
          <w:p w14:paraId="04E8DEAC" w14:textId="77777777" w:rsidR="00964BB7" w:rsidRPr="00FF0F35" w:rsidRDefault="00964BB7" w:rsidP="00FF0F35">
            <w:pPr>
              <w:jc w:val="both"/>
              <w:rPr>
                <w:rFonts w:cstheme="minorHAnsi"/>
                <w:b/>
                <w:noProof/>
                <w:lang w:eastAsia="en-GB"/>
              </w:rPr>
            </w:pPr>
            <w:r w:rsidRPr="00FF0F35">
              <w:rPr>
                <w:rFonts w:cstheme="minorHAnsi"/>
                <w:b/>
                <w:noProof/>
                <w:lang w:eastAsia="en-GB"/>
              </w:rPr>
              <w:t xml:space="preserve">Definition and Categories of SEND </w:t>
            </w:r>
          </w:p>
          <w:p w14:paraId="4B62E8DC" w14:textId="7EA9F302" w:rsidR="00964BB7" w:rsidRPr="00FF0F35" w:rsidRDefault="00964BB7" w:rsidP="00FF0F35">
            <w:pPr>
              <w:jc w:val="both"/>
              <w:rPr>
                <w:rFonts w:cstheme="minorHAnsi"/>
                <w:noProof/>
                <w:lang w:eastAsia="en-GB"/>
              </w:rPr>
            </w:pPr>
            <w:r w:rsidRPr="00FF0F35">
              <w:rPr>
                <w:rFonts w:cstheme="minorHAnsi"/>
                <w:noProof/>
                <w:lang w:eastAsia="en-GB"/>
              </w:rPr>
              <w:t xml:space="preserve">Special Educational Needs and Disabilities (SEND) refers to children with learning difficulties or disabilities that make it harder for them to learn compared to most children of the same age. All children learn and different rates and some children may need additional support with their learning. </w:t>
            </w:r>
          </w:p>
          <w:p w14:paraId="39C511C1" w14:textId="77777777" w:rsidR="004160BB" w:rsidRPr="00FF0F35" w:rsidRDefault="004160BB" w:rsidP="00FF0F35">
            <w:pPr>
              <w:jc w:val="both"/>
              <w:rPr>
                <w:rFonts w:cstheme="minorHAnsi"/>
                <w:noProof/>
                <w:lang w:eastAsia="en-GB"/>
              </w:rPr>
            </w:pPr>
          </w:p>
          <w:p w14:paraId="2C8C2826" w14:textId="5846EF81" w:rsidR="00964BB7" w:rsidRPr="00FF0F35" w:rsidRDefault="00964BB7" w:rsidP="00FF0F35">
            <w:pPr>
              <w:jc w:val="both"/>
              <w:rPr>
                <w:rFonts w:cstheme="minorHAnsi"/>
                <w:b/>
                <w:noProof/>
                <w:lang w:eastAsia="en-GB"/>
              </w:rPr>
            </w:pPr>
            <w:r w:rsidRPr="00FF0F35">
              <w:rPr>
                <w:rFonts w:cstheme="minorHAnsi"/>
                <w:b/>
                <w:noProof/>
                <w:lang w:eastAsia="en-GB"/>
              </w:rPr>
              <w:t>There are four broad categories of SEND, which include:</w:t>
            </w:r>
          </w:p>
          <w:p w14:paraId="345F1243" w14:textId="77777777" w:rsidR="004160BB" w:rsidRPr="00FF0F35" w:rsidRDefault="004160BB" w:rsidP="00FF0F35">
            <w:pPr>
              <w:jc w:val="both"/>
              <w:rPr>
                <w:rFonts w:cstheme="minorHAnsi"/>
                <w:b/>
                <w:noProof/>
                <w:lang w:eastAsia="en-GB"/>
              </w:rPr>
            </w:pPr>
          </w:p>
          <w:p w14:paraId="01FF3B58" w14:textId="3ABA8B4C" w:rsidR="00964BB7" w:rsidRPr="00FF0F35" w:rsidRDefault="00964BB7" w:rsidP="00FF0F35">
            <w:pPr>
              <w:jc w:val="both"/>
              <w:rPr>
                <w:rFonts w:cstheme="minorHAnsi"/>
                <w:noProof/>
                <w:lang w:eastAsia="en-GB"/>
              </w:rPr>
            </w:pPr>
            <w:r w:rsidRPr="00FF0F35">
              <w:rPr>
                <w:rFonts w:cstheme="minorHAnsi"/>
                <w:b/>
                <w:noProof/>
                <w:lang w:eastAsia="en-GB"/>
              </w:rPr>
              <w:t xml:space="preserve">Communication and Interaction: </w:t>
            </w:r>
            <w:r w:rsidRPr="00FF0F35">
              <w:rPr>
                <w:rFonts w:cstheme="minorHAnsi"/>
                <w:noProof/>
                <w:lang w:eastAsia="en-GB"/>
              </w:rPr>
              <w:t>Some children and young people have difficulties with speech, language, and communication, which can make it hard for them to understand and communicate effectively with others.</w:t>
            </w:r>
          </w:p>
          <w:p w14:paraId="50373092" w14:textId="217EB050" w:rsidR="00964BB7" w:rsidRPr="00FF0F35" w:rsidRDefault="00964BB7" w:rsidP="00FF0F35">
            <w:pPr>
              <w:jc w:val="both"/>
              <w:rPr>
                <w:rFonts w:cstheme="minorHAnsi"/>
                <w:noProof/>
                <w:lang w:eastAsia="en-GB"/>
              </w:rPr>
            </w:pPr>
            <w:r w:rsidRPr="00FF0F35">
              <w:rPr>
                <w:rFonts w:cstheme="minorHAnsi"/>
                <w:b/>
                <w:noProof/>
                <w:lang w:eastAsia="en-GB"/>
              </w:rPr>
              <w:t xml:space="preserve">Cognition and Learning: </w:t>
            </w:r>
            <w:r w:rsidRPr="00FF0F35">
              <w:rPr>
                <w:rFonts w:cstheme="minorHAnsi"/>
                <w:noProof/>
                <w:lang w:eastAsia="en-GB"/>
              </w:rPr>
              <w:t>Some children may have difficulties with organisation and memory skills or have a specific difficulty affecting one part of their learning, such as literacy or numeracy.</w:t>
            </w:r>
          </w:p>
          <w:p w14:paraId="5E47EB77" w14:textId="43B567E1" w:rsidR="00964BB7" w:rsidRPr="00FF0F35" w:rsidRDefault="00964BB7" w:rsidP="00FF0F35">
            <w:pPr>
              <w:jc w:val="both"/>
              <w:rPr>
                <w:rFonts w:cstheme="minorHAnsi"/>
                <w:noProof/>
                <w:lang w:eastAsia="en-GB"/>
              </w:rPr>
            </w:pPr>
            <w:r w:rsidRPr="00FF0F35">
              <w:rPr>
                <w:rFonts w:cstheme="minorHAnsi"/>
                <w:b/>
                <w:noProof/>
                <w:lang w:eastAsia="en-GB"/>
              </w:rPr>
              <w:t xml:space="preserve">Social-emotional Mental Health Needs (SEMH): </w:t>
            </w:r>
            <w:r w:rsidRPr="00FF0F35">
              <w:rPr>
                <w:rFonts w:cstheme="minorHAnsi"/>
                <w:noProof/>
                <w:lang w:eastAsia="en-GB"/>
              </w:rPr>
              <w:t>Some children and young people have difficulties managing relationships with others, regulating their emotions or present as withdrawn (which may reflect underlying anxieties or low mood).</w:t>
            </w:r>
          </w:p>
          <w:p w14:paraId="15F6D681" w14:textId="4E184591" w:rsidR="00964BB7" w:rsidRPr="00FF0F35" w:rsidRDefault="004160BB" w:rsidP="00FF0F35">
            <w:pPr>
              <w:jc w:val="both"/>
              <w:rPr>
                <w:rFonts w:cstheme="minorHAnsi"/>
              </w:rPr>
            </w:pPr>
            <w:r w:rsidRPr="00FF0F35">
              <w:rPr>
                <w:rFonts w:cstheme="minorHAnsi"/>
                <w:b/>
              </w:rPr>
              <w:t>Sensory and/or Physical Needs:</w:t>
            </w:r>
            <w:r w:rsidRPr="00FF0F35">
              <w:rPr>
                <w:rFonts w:cstheme="minorHAnsi"/>
              </w:rPr>
              <w:t xml:space="preserve"> Some children and young people have visual and/or hearing impairments or a physical condition that requires ongoing support and specialised equipment.</w:t>
            </w:r>
          </w:p>
          <w:p w14:paraId="1431AC90" w14:textId="50B5BE78" w:rsidR="004160BB" w:rsidRPr="00FF0F35" w:rsidRDefault="004160BB" w:rsidP="00FF0F35">
            <w:pPr>
              <w:jc w:val="both"/>
              <w:rPr>
                <w:rFonts w:cstheme="minorHAnsi"/>
                <w:b/>
                <w:noProof/>
                <w:lang w:eastAsia="en-GB"/>
              </w:rPr>
            </w:pPr>
          </w:p>
          <w:p w14:paraId="56460A3D" w14:textId="77777777" w:rsidR="004160BB" w:rsidRPr="00FF0F35" w:rsidRDefault="004160BB" w:rsidP="00FF0F35">
            <w:pPr>
              <w:widowControl w:val="0"/>
              <w:spacing w:line="242" w:lineRule="auto"/>
              <w:ind w:left="100" w:right="40"/>
              <w:jc w:val="both"/>
              <w:rPr>
                <w:rFonts w:cstheme="minorHAnsi"/>
                <w:lang w:val="en-US"/>
              </w:rPr>
            </w:pPr>
            <w:r w:rsidRPr="00FF0F35">
              <w:rPr>
                <w:rFonts w:cstheme="minorHAnsi"/>
                <w:lang w:val="en-US"/>
              </w:rPr>
              <w:t xml:space="preserve">Children with the most complex needs will be entitled to support through an </w:t>
            </w:r>
            <w:r w:rsidRPr="00FF0F35">
              <w:rPr>
                <w:rFonts w:cstheme="minorHAnsi"/>
                <w:b/>
                <w:bCs/>
                <w:i/>
                <w:iCs/>
                <w:lang w:val="en-US"/>
              </w:rPr>
              <w:t>Education, Health and Care Plan (EHCP).</w:t>
            </w:r>
            <w:r w:rsidRPr="00FF0F35">
              <w:rPr>
                <w:rFonts w:cstheme="minorHAnsi"/>
                <w:lang w:val="en-US"/>
              </w:rPr>
              <w:t xml:space="preserve"> An EHCP may be provided for a child after a series of assessments from a range of professionals have been completed. These are legally binding documents which describe a child’s SEND and outline the special educational support the child should receive. The Local Education Authority (LEA) will provide an Education, Health and care plan if they decide that the additional help a child requires cannot solely be provided from within the school’s resources. Such resources could include money, staff time, training and special equipment.</w:t>
            </w:r>
          </w:p>
          <w:p w14:paraId="5803A026" w14:textId="77777777" w:rsidR="004160BB" w:rsidRPr="00FF0F35" w:rsidRDefault="004160BB" w:rsidP="00FF0F35">
            <w:pPr>
              <w:widowControl w:val="0"/>
              <w:ind w:left="100" w:right="260"/>
              <w:jc w:val="both"/>
              <w:rPr>
                <w:rFonts w:cstheme="minorHAnsi"/>
                <w:lang w:val="en-US"/>
              </w:rPr>
            </w:pPr>
            <w:r w:rsidRPr="00FF0F35">
              <w:rPr>
                <w:rFonts w:cstheme="minorHAnsi"/>
                <w:lang w:val="en-US"/>
              </w:rPr>
              <w:t xml:space="preserve">The remainder of children with SEND will receive </w:t>
            </w:r>
            <w:r w:rsidRPr="00FF0F35">
              <w:rPr>
                <w:rFonts w:cstheme="minorHAnsi"/>
                <w:b/>
                <w:bCs/>
                <w:i/>
                <w:iCs/>
                <w:lang w:val="en-US"/>
              </w:rPr>
              <w:t>SEND Support</w:t>
            </w:r>
            <w:r w:rsidRPr="00FF0F35">
              <w:rPr>
                <w:rFonts w:cstheme="minorHAnsi"/>
                <w:lang w:val="en-US"/>
              </w:rPr>
              <w:t xml:space="preserve"> from the school through interventions and </w:t>
            </w:r>
            <w:proofErr w:type="gramStart"/>
            <w:r w:rsidRPr="00FF0F35">
              <w:rPr>
                <w:rFonts w:cstheme="minorHAnsi"/>
                <w:lang w:val="en-US"/>
              </w:rPr>
              <w:t>high quality</w:t>
            </w:r>
            <w:proofErr w:type="gramEnd"/>
            <w:r w:rsidRPr="00FF0F35">
              <w:rPr>
                <w:rFonts w:cstheme="minorHAnsi"/>
                <w:lang w:val="en-US"/>
              </w:rPr>
              <w:t xml:space="preserve"> teaching. If a child has specific barriers to learning, support from external professionals might also be needed. Such professionals might include Educational Psychologists, NHS Speech and Language Therapists, Occupational Therapists, Creative Therapists and medical professionals.</w:t>
            </w:r>
          </w:p>
          <w:p w14:paraId="6144ECFA" w14:textId="75A65C51" w:rsidR="00780EFD" w:rsidRPr="00FF0F35" w:rsidRDefault="004160BB" w:rsidP="00FF0F35">
            <w:pPr>
              <w:widowControl w:val="0"/>
              <w:ind w:left="100" w:right="260"/>
              <w:jc w:val="both"/>
              <w:rPr>
                <w:rFonts w:cstheme="minorHAnsi"/>
                <w:lang w:val="en-US"/>
              </w:rPr>
            </w:pPr>
            <w:r w:rsidRPr="00FF0F35">
              <w:rPr>
                <w:rFonts w:cstheme="minorHAnsi"/>
                <w:lang w:val="en-US"/>
              </w:rPr>
              <w:t> </w:t>
            </w:r>
          </w:p>
        </w:tc>
      </w:tr>
    </w:tbl>
    <w:p w14:paraId="6144ECFC" w14:textId="77777777" w:rsidR="00A10035" w:rsidRPr="00FF0F35" w:rsidRDefault="00A10035" w:rsidP="00FF0F35">
      <w:pPr>
        <w:jc w:val="both"/>
        <w:rPr>
          <w:rFonts w:cstheme="minorHAnsi"/>
        </w:rPr>
      </w:pPr>
    </w:p>
    <w:tbl>
      <w:tblPr>
        <w:tblStyle w:val="TableGrid"/>
        <w:tblW w:w="0" w:type="auto"/>
        <w:tblLook w:val="04A0" w:firstRow="1" w:lastRow="0" w:firstColumn="1" w:lastColumn="0" w:noHBand="0" w:noVBand="1"/>
      </w:tblPr>
      <w:tblGrid>
        <w:gridCol w:w="10904"/>
      </w:tblGrid>
      <w:tr w:rsidR="00A10035" w:rsidRPr="00FF0F35" w14:paraId="6144ECFE" w14:textId="77777777" w:rsidTr="00334A00">
        <w:tc>
          <w:tcPr>
            <w:tcW w:w="10904" w:type="dxa"/>
            <w:shd w:val="clear" w:color="auto" w:fill="D9D9D9" w:themeFill="background1" w:themeFillShade="D9"/>
          </w:tcPr>
          <w:p w14:paraId="6144ECFD" w14:textId="26DA52E6" w:rsidR="00A10035" w:rsidRPr="00FF0F35" w:rsidRDefault="004160BB" w:rsidP="00FF0F35">
            <w:pPr>
              <w:jc w:val="both"/>
              <w:rPr>
                <w:rFonts w:cstheme="minorHAnsi"/>
                <w:b/>
              </w:rPr>
            </w:pPr>
            <w:r w:rsidRPr="00FF0F35">
              <w:rPr>
                <w:rFonts w:cstheme="minorHAnsi"/>
                <w:b/>
                <w:color w:val="0070C0"/>
              </w:rPr>
              <w:lastRenderedPageBreak/>
              <w:t>Supporting SEND</w:t>
            </w:r>
          </w:p>
        </w:tc>
      </w:tr>
      <w:tr w:rsidR="00A10035" w:rsidRPr="00FF0F35" w14:paraId="6144ED11" w14:textId="77777777" w:rsidTr="00334A00">
        <w:tc>
          <w:tcPr>
            <w:tcW w:w="10904" w:type="dxa"/>
          </w:tcPr>
          <w:p w14:paraId="28C9FEE6" w14:textId="19612604" w:rsidR="004160BB" w:rsidRPr="00FF0F35" w:rsidRDefault="004160BB" w:rsidP="00FF0F35">
            <w:pPr>
              <w:widowControl w:val="0"/>
              <w:ind w:left="20"/>
              <w:jc w:val="both"/>
              <w:rPr>
                <w:rFonts w:cstheme="minorHAnsi"/>
                <w:u w:val="single"/>
              </w:rPr>
            </w:pPr>
          </w:p>
          <w:p w14:paraId="4BF7E67D" w14:textId="77777777" w:rsidR="004160BB" w:rsidRPr="00FF0F35" w:rsidRDefault="004160BB" w:rsidP="00FF0F35">
            <w:pPr>
              <w:widowControl w:val="0"/>
              <w:jc w:val="both"/>
              <w:rPr>
                <w:rFonts w:cstheme="minorHAnsi"/>
                <w:lang w:val="en-US"/>
              </w:rPr>
            </w:pPr>
            <w:r w:rsidRPr="00FF0F35">
              <w:rPr>
                <w:rFonts w:cstheme="minorHAnsi"/>
                <w:lang w:val="en-US"/>
              </w:rPr>
              <w:t>There are a number of principles underpinning the SEND systems in Thameside. They include the following;</w:t>
            </w:r>
          </w:p>
          <w:p w14:paraId="00522B0C" w14:textId="0E698B3A" w:rsidR="004160BB" w:rsidRPr="00FF0F35" w:rsidRDefault="004160BB" w:rsidP="00FF0F35">
            <w:pPr>
              <w:pStyle w:val="ListParagraph"/>
              <w:widowControl w:val="0"/>
              <w:numPr>
                <w:ilvl w:val="0"/>
                <w:numId w:val="8"/>
              </w:numPr>
              <w:jc w:val="both"/>
              <w:rPr>
                <w:rFonts w:cstheme="minorHAnsi"/>
                <w:lang w:val="en-US"/>
              </w:rPr>
            </w:pPr>
            <w:r w:rsidRPr="00FF0F35">
              <w:rPr>
                <w:rFonts w:cstheme="minorHAnsi"/>
                <w:lang w:val="en-US"/>
              </w:rPr>
              <w:t xml:space="preserve">early identification of needs </w:t>
            </w:r>
          </w:p>
          <w:p w14:paraId="6B4A1278" w14:textId="20679E52" w:rsidR="004160BB" w:rsidRPr="00FF0F35" w:rsidRDefault="004160BB" w:rsidP="00FF0F35">
            <w:pPr>
              <w:pStyle w:val="ListParagraph"/>
              <w:widowControl w:val="0"/>
              <w:numPr>
                <w:ilvl w:val="0"/>
                <w:numId w:val="8"/>
              </w:numPr>
              <w:jc w:val="both"/>
              <w:rPr>
                <w:rFonts w:cstheme="minorHAnsi"/>
                <w:lang w:val="en-US"/>
              </w:rPr>
            </w:pPr>
            <w:r w:rsidRPr="00FF0F35">
              <w:rPr>
                <w:rFonts w:cstheme="minorHAnsi"/>
                <w:lang w:val="en-US"/>
              </w:rPr>
              <w:t xml:space="preserve">high expectations and aspirations for SEND children's achievements </w:t>
            </w:r>
          </w:p>
          <w:p w14:paraId="13B37EC2" w14:textId="4B449A30" w:rsidR="004160BB" w:rsidRPr="00FF0F35" w:rsidRDefault="004160BB" w:rsidP="00FF0F35">
            <w:pPr>
              <w:pStyle w:val="ListParagraph"/>
              <w:widowControl w:val="0"/>
              <w:numPr>
                <w:ilvl w:val="0"/>
                <w:numId w:val="8"/>
              </w:numPr>
              <w:jc w:val="both"/>
              <w:rPr>
                <w:rFonts w:cstheme="minorHAnsi"/>
                <w:lang w:val="en-US"/>
              </w:rPr>
            </w:pPr>
            <w:r w:rsidRPr="00FF0F35">
              <w:rPr>
                <w:rFonts w:cstheme="minorHAnsi"/>
                <w:lang w:val="en-US"/>
              </w:rPr>
              <w:t xml:space="preserve">involvement from families </w:t>
            </w:r>
          </w:p>
          <w:p w14:paraId="68128F66" w14:textId="68570198" w:rsidR="004160BB" w:rsidRPr="00FF0F35" w:rsidRDefault="004160BB" w:rsidP="00FF0F35">
            <w:pPr>
              <w:pStyle w:val="ListParagraph"/>
              <w:widowControl w:val="0"/>
              <w:numPr>
                <w:ilvl w:val="0"/>
                <w:numId w:val="8"/>
              </w:numPr>
              <w:jc w:val="both"/>
              <w:rPr>
                <w:rFonts w:cstheme="minorHAnsi"/>
                <w:lang w:val="en-US"/>
              </w:rPr>
            </w:pPr>
            <w:r w:rsidRPr="00FF0F35">
              <w:rPr>
                <w:rFonts w:cstheme="minorHAnsi"/>
                <w:lang w:val="en-US"/>
              </w:rPr>
              <w:t xml:space="preserve">views of the children or young person </w:t>
            </w:r>
          </w:p>
          <w:p w14:paraId="2B141B5D" w14:textId="7B8157DF" w:rsidR="004160BB" w:rsidRPr="00FF0F35" w:rsidRDefault="004160BB" w:rsidP="00FF0F35">
            <w:pPr>
              <w:pStyle w:val="ListParagraph"/>
              <w:widowControl w:val="0"/>
              <w:numPr>
                <w:ilvl w:val="0"/>
                <w:numId w:val="8"/>
              </w:numPr>
              <w:jc w:val="both"/>
              <w:rPr>
                <w:rFonts w:cstheme="minorHAnsi"/>
                <w:lang w:val="en-US"/>
              </w:rPr>
            </w:pPr>
            <w:r w:rsidRPr="00FF0F35">
              <w:rPr>
                <w:rFonts w:cstheme="minorHAnsi"/>
                <w:lang w:val="en-US"/>
              </w:rPr>
              <w:t xml:space="preserve">collaboration between professionals i.e. education, health and social care </w:t>
            </w:r>
          </w:p>
          <w:p w14:paraId="3D6A9A6C" w14:textId="748737BE" w:rsidR="004160BB" w:rsidRPr="00FF0F35" w:rsidRDefault="004160BB" w:rsidP="00FF0F35">
            <w:pPr>
              <w:pStyle w:val="ListParagraph"/>
              <w:widowControl w:val="0"/>
              <w:numPr>
                <w:ilvl w:val="0"/>
                <w:numId w:val="8"/>
              </w:numPr>
              <w:jc w:val="both"/>
              <w:rPr>
                <w:rFonts w:cstheme="minorHAnsi"/>
                <w:lang w:val="en-US"/>
              </w:rPr>
            </w:pPr>
            <w:r w:rsidRPr="00FF0F35">
              <w:rPr>
                <w:rFonts w:cstheme="minorHAnsi"/>
                <w:lang w:val="en-US"/>
              </w:rPr>
              <w:t xml:space="preserve">clarity of roles and responsibilities </w:t>
            </w:r>
          </w:p>
          <w:p w14:paraId="3DB300B2" w14:textId="2B49903A" w:rsidR="004160BB" w:rsidRPr="00FF0F35" w:rsidRDefault="004160BB" w:rsidP="00FF0F35">
            <w:pPr>
              <w:pStyle w:val="ListParagraph"/>
              <w:widowControl w:val="0"/>
              <w:numPr>
                <w:ilvl w:val="0"/>
                <w:numId w:val="8"/>
              </w:numPr>
              <w:jc w:val="both"/>
              <w:rPr>
                <w:rFonts w:cstheme="minorHAnsi"/>
                <w:lang w:val="en-US"/>
              </w:rPr>
            </w:pPr>
            <w:r w:rsidRPr="00FF0F35">
              <w:rPr>
                <w:rFonts w:cstheme="minorHAnsi"/>
                <w:lang w:val="en-US"/>
              </w:rPr>
              <w:t>high quality provision.</w:t>
            </w:r>
          </w:p>
          <w:p w14:paraId="6144ED10" w14:textId="39618986" w:rsidR="004B61ED" w:rsidRPr="00FF0F35" w:rsidRDefault="00F05C51" w:rsidP="00FF0F35">
            <w:pPr>
              <w:widowControl w:val="0"/>
              <w:jc w:val="center"/>
              <w:rPr>
                <w:rFonts w:cstheme="minorHAnsi"/>
                <w:lang w:val="en-US"/>
              </w:rPr>
            </w:pPr>
            <w:r w:rsidRPr="00FF0F35">
              <w:rPr>
                <w:rFonts w:cstheme="minorHAnsi"/>
                <w:noProof/>
                <w:lang w:val="en-US"/>
              </w:rPr>
              <w:drawing>
                <wp:inline distT="0" distB="0" distL="0" distR="0" wp14:anchorId="61E7F8AB" wp14:editId="577AFA9E">
                  <wp:extent cx="5837426" cy="41761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20D467.tmp"/>
                          <pic:cNvPicPr/>
                        </pic:nvPicPr>
                        <pic:blipFill>
                          <a:blip r:embed="rId10">
                            <a:extLst>
                              <a:ext uri="{28A0092B-C50C-407E-A947-70E740481C1C}">
                                <a14:useLocalDpi xmlns:a14="http://schemas.microsoft.com/office/drawing/2010/main" val="0"/>
                              </a:ext>
                            </a:extLst>
                          </a:blip>
                          <a:stretch>
                            <a:fillRect/>
                          </a:stretch>
                        </pic:blipFill>
                        <pic:spPr>
                          <a:xfrm>
                            <a:off x="0" y="0"/>
                            <a:ext cx="5837426" cy="4176122"/>
                          </a:xfrm>
                          <a:prstGeom prst="rect">
                            <a:avLst/>
                          </a:prstGeom>
                        </pic:spPr>
                      </pic:pic>
                    </a:graphicData>
                  </a:graphic>
                </wp:inline>
              </w:drawing>
            </w:r>
          </w:p>
        </w:tc>
      </w:tr>
    </w:tbl>
    <w:p w14:paraId="4FF1613A" w14:textId="77777777" w:rsidR="00B977ED" w:rsidRDefault="00B977ED"/>
    <w:tbl>
      <w:tblPr>
        <w:tblStyle w:val="TableGrid"/>
        <w:tblW w:w="0" w:type="auto"/>
        <w:tblLook w:val="04A0" w:firstRow="1" w:lastRow="0" w:firstColumn="1" w:lastColumn="0" w:noHBand="0" w:noVBand="1"/>
      </w:tblPr>
      <w:tblGrid>
        <w:gridCol w:w="10904"/>
      </w:tblGrid>
      <w:tr w:rsidR="006C0C3B" w:rsidRPr="00FF0F35" w14:paraId="6144ED15" w14:textId="77777777" w:rsidTr="002852E3">
        <w:tc>
          <w:tcPr>
            <w:tcW w:w="10904" w:type="dxa"/>
            <w:shd w:val="clear" w:color="auto" w:fill="D9D9D9" w:themeFill="background1" w:themeFillShade="D9"/>
          </w:tcPr>
          <w:p w14:paraId="6144ED14" w14:textId="7EEAF82D" w:rsidR="006C0C3B" w:rsidRPr="00FF0F35" w:rsidRDefault="004160BB" w:rsidP="00FF0F35">
            <w:pPr>
              <w:jc w:val="both"/>
              <w:rPr>
                <w:rFonts w:cstheme="minorHAnsi"/>
                <w:b/>
                <w:color w:val="0070C0"/>
              </w:rPr>
            </w:pPr>
            <w:r w:rsidRPr="00FF0F35">
              <w:rPr>
                <w:rFonts w:cstheme="minorHAnsi"/>
                <w:b/>
                <w:color w:val="0070C0"/>
              </w:rPr>
              <w:t>What Ordinarily Available Provision includes:</w:t>
            </w:r>
            <w:r w:rsidR="00780EFD" w:rsidRPr="00FF0F35">
              <w:rPr>
                <w:rFonts w:cstheme="minorHAnsi"/>
                <w:b/>
                <w:color w:val="0070C0"/>
              </w:rPr>
              <w:t xml:space="preserve"> </w:t>
            </w:r>
          </w:p>
        </w:tc>
      </w:tr>
      <w:tr w:rsidR="006C0C3B" w:rsidRPr="00FF0F35" w14:paraId="6144ED1E" w14:textId="77777777" w:rsidTr="000F1A34">
        <w:trPr>
          <w:trHeight w:val="2692"/>
        </w:trPr>
        <w:tc>
          <w:tcPr>
            <w:tcW w:w="10904" w:type="dxa"/>
          </w:tcPr>
          <w:p w14:paraId="4743BF42" w14:textId="77777777" w:rsidR="004160BB" w:rsidRPr="00FF0F35" w:rsidRDefault="004160BB" w:rsidP="00FF0F35">
            <w:pPr>
              <w:jc w:val="both"/>
              <w:rPr>
                <w:rFonts w:cstheme="minorHAnsi"/>
                <w:b/>
              </w:rPr>
            </w:pPr>
            <w:r w:rsidRPr="00FF0F35">
              <w:rPr>
                <w:rFonts w:cstheme="minorHAnsi"/>
                <w:b/>
              </w:rPr>
              <w:t>Quality First Teaching</w:t>
            </w:r>
            <w:bookmarkStart w:id="0" w:name="_GoBack"/>
            <w:bookmarkEnd w:id="0"/>
          </w:p>
          <w:p w14:paraId="4B888568" w14:textId="77777777" w:rsidR="004160BB" w:rsidRPr="00FF0F35" w:rsidRDefault="004160BB" w:rsidP="00FF0F35">
            <w:pPr>
              <w:jc w:val="both"/>
              <w:rPr>
                <w:rFonts w:cstheme="minorHAnsi"/>
              </w:rPr>
            </w:pPr>
          </w:p>
          <w:p w14:paraId="001329CF" w14:textId="77777777" w:rsidR="007822D1" w:rsidRPr="00FF0F35" w:rsidRDefault="004160BB" w:rsidP="00FF0F35">
            <w:pPr>
              <w:jc w:val="both"/>
              <w:rPr>
                <w:rFonts w:cstheme="minorHAnsi"/>
              </w:rPr>
            </w:pPr>
            <w:r w:rsidRPr="00FF0F35">
              <w:rPr>
                <w:rFonts w:cstheme="minorHAnsi"/>
              </w:rPr>
              <w:t>Quality First Teaching (QFT) is a teaching approach to providing high-quality education to all children and young people with SEND. It ensures that every lesson is effective and accessible. QFT aims to ensure that every child or young person with SEND receives a high standard of education and can achieve their full potential. QFT is recognised as the first step of responding to children and young people with SEND in the SEND Code of Practice.</w:t>
            </w:r>
          </w:p>
          <w:p w14:paraId="433B60ED" w14:textId="77777777" w:rsidR="004160BB" w:rsidRPr="00FF0F35" w:rsidRDefault="004160BB" w:rsidP="00FF0F35">
            <w:pPr>
              <w:jc w:val="both"/>
              <w:rPr>
                <w:rFonts w:cstheme="minorHAnsi"/>
              </w:rPr>
            </w:pPr>
          </w:p>
          <w:p w14:paraId="6B8EE6F8" w14:textId="7BC68D24" w:rsidR="004160BB" w:rsidRPr="00FF0F35" w:rsidRDefault="004160BB" w:rsidP="00FF0F35">
            <w:pPr>
              <w:jc w:val="both"/>
              <w:rPr>
                <w:rFonts w:cstheme="minorHAnsi"/>
              </w:rPr>
            </w:pPr>
            <w:r w:rsidRPr="00FF0F35">
              <w:rPr>
                <w:rFonts w:cstheme="minorHAnsi"/>
              </w:rPr>
              <w:t xml:space="preserve">Here are principles of Quality First Teaching that are </w:t>
            </w:r>
            <w:r w:rsidR="00B4450B" w:rsidRPr="00FF0F35">
              <w:rPr>
                <w:rFonts w:cstheme="minorHAnsi"/>
              </w:rPr>
              <w:t>seen in our school</w:t>
            </w:r>
            <w:r w:rsidRPr="00FF0F35">
              <w:rPr>
                <w:rFonts w:cstheme="minorHAnsi"/>
              </w:rPr>
              <w:t>:</w:t>
            </w:r>
          </w:p>
          <w:p w14:paraId="65893EAB" w14:textId="77777777" w:rsidR="004160BB" w:rsidRPr="00FF0F35" w:rsidRDefault="004160BB" w:rsidP="00FF0F35">
            <w:pPr>
              <w:jc w:val="both"/>
              <w:rPr>
                <w:rFonts w:cstheme="minorHAnsi"/>
              </w:rPr>
            </w:pPr>
          </w:p>
          <w:p w14:paraId="662309C5" w14:textId="342F3B10" w:rsidR="004160BB" w:rsidRPr="00FF0F35" w:rsidRDefault="004160BB" w:rsidP="00FF0F35">
            <w:pPr>
              <w:jc w:val="both"/>
              <w:rPr>
                <w:rFonts w:cstheme="minorHAnsi"/>
              </w:rPr>
            </w:pPr>
            <w:r w:rsidRPr="00FF0F35">
              <w:rPr>
                <w:rFonts w:cstheme="minorHAnsi"/>
              </w:rPr>
              <w:t>• Inclusive Lessons: Lessons are designed to meet the needs of all children and young people with SEND, including those with different learning styles and abilities. This means using various teaching methods and materials to help every child or young person with SEND understand the content.</w:t>
            </w:r>
          </w:p>
          <w:p w14:paraId="1CC809E6" w14:textId="351F980F" w:rsidR="004160BB" w:rsidRPr="00FF0F35" w:rsidRDefault="004160BB" w:rsidP="00FF0F35">
            <w:pPr>
              <w:jc w:val="both"/>
              <w:rPr>
                <w:rFonts w:cstheme="minorHAnsi"/>
              </w:rPr>
            </w:pPr>
            <w:r w:rsidRPr="00FF0F35">
              <w:rPr>
                <w:rFonts w:cstheme="minorHAnsi"/>
              </w:rPr>
              <w:t>• High Expectations: Teachers have high expectations for all children and young people with SEND. They believe every child and young person with SEND can succeed and encourage them to do their best.</w:t>
            </w:r>
          </w:p>
          <w:p w14:paraId="0AC2A2EC" w14:textId="1F4A6A4E" w:rsidR="004160BB" w:rsidRPr="00FF0F35" w:rsidRDefault="004160BB" w:rsidP="00FF0F35">
            <w:pPr>
              <w:jc w:val="both"/>
              <w:rPr>
                <w:rFonts w:cstheme="minorHAnsi"/>
              </w:rPr>
            </w:pPr>
            <w:r w:rsidRPr="00FF0F35">
              <w:rPr>
                <w:rFonts w:cstheme="minorHAnsi"/>
              </w:rPr>
              <w:t>• Engaging Teaching: Lessons should be interesting and engaging. They should capture children and young people with attention and make learning enjoyable. This might include interactive activities, group work, and practical examples.</w:t>
            </w:r>
          </w:p>
          <w:p w14:paraId="222B74E4" w14:textId="04DCFE78" w:rsidR="004160BB" w:rsidRPr="00FF0F35" w:rsidRDefault="004160BB" w:rsidP="00FF0F35">
            <w:pPr>
              <w:jc w:val="both"/>
              <w:rPr>
                <w:rFonts w:cstheme="minorHAnsi"/>
              </w:rPr>
            </w:pPr>
            <w:r w:rsidRPr="00FF0F35">
              <w:rPr>
                <w:rFonts w:cstheme="minorHAnsi"/>
              </w:rPr>
              <w:t>• Clear Objectives: Teachers set clear learning objectives for each lesson. children and young people know what they are expected to learn and why it is important.</w:t>
            </w:r>
          </w:p>
          <w:p w14:paraId="5EA54148" w14:textId="7B9DA336" w:rsidR="004160BB" w:rsidRPr="00FF0F35" w:rsidRDefault="004160BB" w:rsidP="00FF0F35">
            <w:pPr>
              <w:jc w:val="both"/>
              <w:rPr>
                <w:rFonts w:cstheme="minorHAnsi"/>
              </w:rPr>
            </w:pPr>
            <w:r w:rsidRPr="00FF0F35">
              <w:rPr>
                <w:rFonts w:cstheme="minorHAnsi"/>
              </w:rPr>
              <w:t>• Effective Assessment: Teachers regularly check children and young people’s understanding through questions, quizzes, and other assessments. They use this information to adjust their teaching and provide additional support where needed.</w:t>
            </w:r>
          </w:p>
          <w:p w14:paraId="7C1115B4" w14:textId="592E6662" w:rsidR="004160BB" w:rsidRPr="00FF0F35" w:rsidRDefault="004160BB" w:rsidP="00FF0F35">
            <w:pPr>
              <w:jc w:val="both"/>
              <w:rPr>
                <w:rFonts w:cstheme="minorHAnsi"/>
              </w:rPr>
            </w:pPr>
            <w:r w:rsidRPr="00FF0F35">
              <w:rPr>
                <w:rFonts w:cstheme="minorHAnsi"/>
              </w:rPr>
              <w:lastRenderedPageBreak/>
              <w:t>• Differentiation: Teachers adapt their teaching to meet the diverse needs of their children and young people with SEND. This could mean providing extra challenges for advanced learners or additional support for those who are struggling</w:t>
            </w:r>
            <w:r w:rsidR="00B4450B" w:rsidRPr="00FF0F35">
              <w:rPr>
                <w:rFonts w:cstheme="minorHAnsi"/>
              </w:rPr>
              <w:t xml:space="preserve"> (scaffolding)</w:t>
            </w:r>
            <w:r w:rsidRPr="00FF0F35">
              <w:rPr>
                <w:rFonts w:cstheme="minorHAnsi"/>
              </w:rPr>
              <w:t>.</w:t>
            </w:r>
          </w:p>
          <w:p w14:paraId="5E0A8D16" w14:textId="611FD643" w:rsidR="004160BB" w:rsidRPr="00FF0F35" w:rsidRDefault="004160BB" w:rsidP="00FF0F35">
            <w:pPr>
              <w:jc w:val="both"/>
              <w:rPr>
                <w:rFonts w:cstheme="minorHAnsi"/>
              </w:rPr>
            </w:pPr>
            <w:r w:rsidRPr="00FF0F35">
              <w:rPr>
                <w:rFonts w:cstheme="minorHAnsi"/>
              </w:rPr>
              <w:t>• Feedback: Teachers provide constructive feedback to children and young people with SEND, helping them understand what they did well and how to improve. This feedback is specific, timely, and focused on helping them progress.</w:t>
            </w:r>
          </w:p>
          <w:p w14:paraId="6EC4D114" w14:textId="58A8DA5B" w:rsidR="004160BB" w:rsidRPr="00FF0F35" w:rsidRDefault="004160BB" w:rsidP="00FF0F35">
            <w:pPr>
              <w:jc w:val="both"/>
              <w:rPr>
                <w:rFonts w:cstheme="minorHAnsi"/>
              </w:rPr>
            </w:pPr>
            <w:r w:rsidRPr="00FF0F35">
              <w:rPr>
                <w:rFonts w:cstheme="minorHAnsi"/>
              </w:rPr>
              <w:t>• Positive Learning Environment</w:t>
            </w:r>
            <w:r w:rsidR="00FF0F35" w:rsidRPr="00FF0F35">
              <w:rPr>
                <w:rFonts w:cstheme="minorHAnsi"/>
              </w:rPr>
              <w:t xml:space="preserve"> (Inclusive Classrooms)</w:t>
            </w:r>
            <w:r w:rsidRPr="00FF0F35">
              <w:rPr>
                <w:rFonts w:cstheme="minorHAnsi"/>
              </w:rPr>
              <w:t>: The classroom environment is supportive and positive. Teachers build good relationships with children and young people with SEND, encourage mutual respect, and create a safe space for learning.</w:t>
            </w:r>
          </w:p>
          <w:p w14:paraId="6144ED1D" w14:textId="02467824" w:rsidR="004160BB" w:rsidRPr="00FF0F35" w:rsidRDefault="004160BB" w:rsidP="00FF0F35">
            <w:pPr>
              <w:jc w:val="both"/>
              <w:rPr>
                <w:rFonts w:cstheme="minorHAnsi"/>
              </w:rPr>
            </w:pPr>
            <w:r w:rsidRPr="00FF0F35">
              <w:rPr>
                <w:rFonts w:cstheme="minorHAnsi"/>
              </w:rPr>
              <w:t>• Professional Development: Teachers continuously seek to improve their skills and knowledge through ongoing professional development.</w:t>
            </w:r>
          </w:p>
        </w:tc>
      </w:tr>
    </w:tbl>
    <w:p w14:paraId="6144ED1F" w14:textId="77777777" w:rsidR="00B13AD3" w:rsidRPr="00FF0F35" w:rsidRDefault="00B13AD3" w:rsidP="00FF0F35">
      <w:pPr>
        <w:jc w:val="both"/>
        <w:rPr>
          <w:rFonts w:cstheme="minorHAnsi"/>
        </w:rPr>
      </w:pPr>
    </w:p>
    <w:sectPr w:rsidR="00B13AD3" w:rsidRPr="00FF0F35" w:rsidSect="00AE27A7">
      <w:pgSz w:w="11906" w:h="16838"/>
      <w:pgMar w:top="426" w:right="566"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E0FBA"/>
    <w:multiLevelType w:val="hybridMultilevel"/>
    <w:tmpl w:val="23862102"/>
    <w:lvl w:ilvl="0" w:tplc="F96ADB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C24FA"/>
    <w:multiLevelType w:val="hybridMultilevel"/>
    <w:tmpl w:val="A75E2DBE"/>
    <w:lvl w:ilvl="0" w:tplc="44A6EBB2">
      <w:start w:val="1"/>
      <w:numFmt w:val="bullet"/>
      <w:lvlText w:val="•"/>
      <w:lvlJc w:val="left"/>
      <w:pPr>
        <w:tabs>
          <w:tab w:val="num" w:pos="720"/>
        </w:tabs>
        <w:ind w:left="720" w:hanging="360"/>
      </w:pPr>
      <w:rPr>
        <w:rFonts w:ascii="Arial" w:hAnsi="Arial" w:hint="default"/>
      </w:rPr>
    </w:lvl>
    <w:lvl w:ilvl="1" w:tplc="9E128D92" w:tentative="1">
      <w:start w:val="1"/>
      <w:numFmt w:val="bullet"/>
      <w:lvlText w:val="•"/>
      <w:lvlJc w:val="left"/>
      <w:pPr>
        <w:tabs>
          <w:tab w:val="num" w:pos="1440"/>
        </w:tabs>
        <w:ind w:left="1440" w:hanging="360"/>
      </w:pPr>
      <w:rPr>
        <w:rFonts w:ascii="Arial" w:hAnsi="Arial" w:hint="default"/>
      </w:rPr>
    </w:lvl>
    <w:lvl w:ilvl="2" w:tplc="98100226" w:tentative="1">
      <w:start w:val="1"/>
      <w:numFmt w:val="bullet"/>
      <w:lvlText w:val="•"/>
      <w:lvlJc w:val="left"/>
      <w:pPr>
        <w:tabs>
          <w:tab w:val="num" w:pos="2160"/>
        </w:tabs>
        <w:ind w:left="2160" w:hanging="360"/>
      </w:pPr>
      <w:rPr>
        <w:rFonts w:ascii="Arial" w:hAnsi="Arial" w:hint="default"/>
      </w:rPr>
    </w:lvl>
    <w:lvl w:ilvl="3" w:tplc="B016C6C0" w:tentative="1">
      <w:start w:val="1"/>
      <w:numFmt w:val="bullet"/>
      <w:lvlText w:val="•"/>
      <w:lvlJc w:val="left"/>
      <w:pPr>
        <w:tabs>
          <w:tab w:val="num" w:pos="2880"/>
        </w:tabs>
        <w:ind w:left="2880" w:hanging="360"/>
      </w:pPr>
      <w:rPr>
        <w:rFonts w:ascii="Arial" w:hAnsi="Arial" w:hint="default"/>
      </w:rPr>
    </w:lvl>
    <w:lvl w:ilvl="4" w:tplc="2F0C2604" w:tentative="1">
      <w:start w:val="1"/>
      <w:numFmt w:val="bullet"/>
      <w:lvlText w:val="•"/>
      <w:lvlJc w:val="left"/>
      <w:pPr>
        <w:tabs>
          <w:tab w:val="num" w:pos="3600"/>
        </w:tabs>
        <w:ind w:left="3600" w:hanging="360"/>
      </w:pPr>
      <w:rPr>
        <w:rFonts w:ascii="Arial" w:hAnsi="Arial" w:hint="default"/>
      </w:rPr>
    </w:lvl>
    <w:lvl w:ilvl="5" w:tplc="CB923B4C" w:tentative="1">
      <w:start w:val="1"/>
      <w:numFmt w:val="bullet"/>
      <w:lvlText w:val="•"/>
      <w:lvlJc w:val="left"/>
      <w:pPr>
        <w:tabs>
          <w:tab w:val="num" w:pos="4320"/>
        </w:tabs>
        <w:ind w:left="4320" w:hanging="360"/>
      </w:pPr>
      <w:rPr>
        <w:rFonts w:ascii="Arial" w:hAnsi="Arial" w:hint="default"/>
      </w:rPr>
    </w:lvl>
    <w:lvl w:ilvl="6" w:tplc="2D241914" w:tentative="1">
      <w:start w:val="1"/>
      <w:numFmt w:val="bullet"/>
      <w:lvlText w:val="•"/>
      <w:lvlJc w:val="left"/>
      <w:pPr>
        <w:tabs>
          <w:tab w:val="num" w:pos="5040"/>
        </w:tabs>
        <w:ind w:left="5040" w:hanging="360"/>
      </w:pPr>
      <w:rPr>
        <w:rFonts w:ascii="Arial" w:hAnsi="Arial" w:hint="default"/>
      </w:rPr>
    </w:lvl>
    <w:lvl w:ilvl="7" w:tplc="6E2AA210" w:tentative="1">
      <w:start w:val="1"/>
      <w:numFmt w:val="bullet"/>
      <w:lvlText w:val="•"/>
      <w:lvlJc w:val="left"/>
      <w:pPr>
        <w:tabs>
          <w:tab w:val="num" w:pos="5760"/>
        </w:tabs>
        <w:ind w:left="5760" w:hanging="360"/>
      </w:pPr>
      <w:rPr>
        <w:rFonts w:ascii="Arial" w:hAnsi="Arial" w:hint="default"/>
      </w:rPr>
    </w:lvl>
    <w:lvl w:ilvl="8" w:tplc="BA501E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107210"/>
    <w:multiLevelType w:val="hybridMultilevel"/>
    <w:tmpl w:val="7C36A0EA"/>
    <w:lvl w:ilvl="0" w:tplc="10E0D5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13D89"/>
    <w:multiLevelType w:val="hybridMultilevel"/>
    <w:tmpl w:val="4AECC7A2"/>
    <w:lvl w:ilvl="0" w:tplc="D33423C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885382"/>
    <w:multiLevelType w:val="hybridMultilevel"/>
    <w:tmpl w:val="9A6EEE90"/>
    <w:lvl w:ilvl="0" w:tplc="B4CC6E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215040"/>
    <w:multiLevelType w:val="hybridMultilevel"/>
    <w:tmpl w:val="E918C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3B2937"/>
    <w:multiLevelType w:val="hybridMultilevel"/>
    <w:tmpl w:val="BC022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D02C31"/>
    <w:multiLevelType w:val="hybridMultilevel"/>
    <w:tmpl w:val="2812BABC"/>
    <w:lvl w:ilvl="0" w:tplc="768E7FC4">
      <w:start w:val="1"/>
      <w:numFmt w:val="bullet"/>
      <w:lvlText w:val="•"/>
      <w:lvlJc w:val="left"/>
      <w:pPr>
        <w:tabs>
          <w:tab w:val="num" w:pos="720"/>
        </w:tabs>
        <w:ind w:left="720" w:hanging="360"/>
      </w:pPr>
      <w:rPr>
        <w:rFonts w:ascii="Arial" w:hAnsi="Arial" w:hint="default"/>
      </w:rPr>
    </w:lvl>
    <w:lvl w:ilvl="1" w:tplc="02AA76CC" w:tentative="1">
      <w:start w:val="1"/>
      <w:numFmt w:val="bullet"/>
      <w:lvlText w:val="•"/>
      <w:lvlJc w:val="left"/>
      <w:pPr>
        <w:tabs>
          <w:tab w:val="num" w:pos="1440"/>
        </w:tabs>
        <w:ind w:left="1440" w:hanging="360"/>
      </w:pPr>
      <w:rPr>
        <w:rFonts w:ascii="Arial" w:hAnsi="Arial" w:hint="default"/>
      </w:rPr>
    </w:lvl>
    <w:lvl w:ilvl="2" w:tplc="09D0E01E" w:tentative="1">
      <w:start w:val="1"/>
      <w:numFmt w:val="bullet"/>
      <w:lvlText w:val="•"/>
      <w:lvlJc w:val="left"/>
      <w:pPr>
        <w:tabs>
          <w:tab w:val="num" w:pos="2160"/>
        </w:tabs>
        <w:ind w:left="2160" w:hanging="360"/>
      </w:pPr>
      <w:rPr>
        <w:rFonts w:ascii="Arial" w:hAnsi="Arial" w:hint="default"/>
      </w:rPr>
    </w:lvl>
    <w:lvl w:ilvl="3" w:tplc="8076D630" w:tentative="1">
      <w:start w:val="1"/>
      <w:numFmt w:val="bullet"/>
      <w:lvlText w:val="•"/>
      <w:lvlJc w:val="left"/>
      <w:pPr>
        <w:tabs>
          <w:tab w:val="num" w:pos="2880"/>
        </w:tabs>
        <w:ind w:left="2880" w:hanging="360"/>
      </w:pPr>
      <w:rPr>
        <w:rFonts w:ascii="Arial" w:hAnsi="Arial" w:hint="default"/>
      </w:rPr>
    </w:lvl>
    <w:lvl w:ilvl="4" w:tplc="68B0A912" w:tentative="1">
      <w:start w:val="1"/>
      <w:numFmt w:val="bullet"/>
      <w:lvlText w:val="•"/>
      <w:lvlJc w:val="left"/>
      <w:pPr>
        <w:tabs>
          <w:tab w:val="num" w:pos="3600"/>
        </w:tabs>
        <w:ind w:left="3600" w:hanging="360"/>
      </w:pPr>
      <w:rPr>
        <w:rFonts w:ascii="Arial" w:hAnsi="Arial" w:hint="default"/>
      </w:rPr>
    </w:lvl>
    <w:lvl w:ilvl="5" w:tplc="C9FAF3A6" w:tentative="1">
      <w:start w:val="1"/>
      <w:numFmt w:val="bullet"/>
      <w:lvlText w:val="•"/>
      <w:lvlJc w:val="left"/>
      <w:pPr>
        <w:tabs>
          <w:tab w:val="num" w:pos="4320"/>
        </w:tabs>
        <w:ind w:left="4320" w:hanging="360"/>
      </w:pPr>
      <w:rPr>
        <w:rFonts w:ascii="Arial" w:hAnsi="Arial" w:hint="default"/>
      </w:rPr>
    </w:lvl>
    <w:lvl w:ilvl="6" w:tplc="AD7AB84E" w:tentative="1">
      <w:start w:val="1"/>
      <w:numFmt w:val="bullet"/>
      <w:lvlText w:val="•"/>
      <w:lvlJc w:val="left"/>
      <w:pPr>
        <w:tabs>
          <w:tab w:val="num" w:pos="5040"/>
        </w:tabs>
        <w:ind w:left="5040" w:hanging="360"/>
      </w:pPr>
      <w:rPr>
        <w:rFonts w:ascii="Arial" w:hAnsi="Arial" w:hint="default"/>
      </w:rPr>
    </w:lvl>
    <w:lvl w:ilvl="7" w:tplc="37D43494" w:tentative="1">
      <w:start w:val="1"/>
      <w:numFmt w:val="bullet"/>
      <w:lvlText w:val="•"/>
      <w:lvlJc w:val="left"/>
      <w:pPr>
        <w:tabs>
          <w:tab w:val="num" w:pos="5760"/>
        </w:tabs>
        <w:ind w:left="5760" w:hanging="360"/>
      </w:pPr>
      <w:rPr>
        <w:rFonts w:ascii="Arial" w:hAnsi="Arial" w:hint="default"/>
      </w:rPr>
    </w:lvl>
    <w:lvl w:ilvl="8" w:tplc="603AEC2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7"/>
  </w:num>
  <w:num w:numId="4">
    <w:abstractNumId w:val="1"/>
  </w:num>
  <w:num w:numId="5">
    <w:abstractNumId w:val="3"/>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55"/>
    <w:rsid w:val="000F1A34"/>
    <w:rsid w:val="00135B81"/>
    <w:rsid w:val="00245822"/>
    <w:rsid w:val="00341EF0"/>
    <w:rsid w:val="00384477"/>
    <w:rsid w:val="003A172E"/>
    <w:rsid w:val="00414AE3"/>
    <w:rsid w:val="004160BB"/>
    <w:rsid w:val="00420A49"/>
    <w:rsid w:val="00441383"/>
    <w:rsid w:val="00457D3D"/>
    <w:rsid w:val="00460F55"/>
    <w:rsid w:val="004718E6"/>
    <w:rsid w:val="004B61ED"/>
    <w:rsid w:val="005466FD"/>
    <w:rsid w:val="00572846"/>
    <w:rsid w:val="005B3534"/>
    <w:rsid w:val="006C0C3B"/>
    <w:rsid w:val="00744BAD"/>
    <w:rsid w:val="00780EFD"/>
    <w:rsid w:val="007822D1"/>
    <w:rsid w:val="007D62FD"/>
    <w:rsid w:val="00853F35"/>
    <w:rsid w:val="0089588E"/>
    <w:rsid w:val="008A7AFA"/>
    <w:rsid w:val="008F0B28"/>
    <w:rsid w:val="00964BB7"/>
    <w:rsid w:val="009A1F34"/>
    <w:rsid w:val="00A01BA7"/>
    <w:rsid w:val="00A10035"/>
    <w:rsid w:val="00A569FC"/>
    <w:rsid w:val="00A646FF"/>
    <w:rsid w:val="00A839AD"/>
    <w:rsid w:val="00AE27A7"/>
    <w:rsid w:val="00B13AD3"/>
    <w:rsid w:val="00B4450B"/>
    <w:rsid w:val="00B977ED"/>
    <w:rsid w:val="00BD7C52"/>
    <w:rsid w:val="00C240EA"/>
    <w:rsid w:val="00D03B65"/>
    <w:rsid w:val="00D113E8"/>
    <w:rsid w:val="00D353D2"/>
    <w:rsid w:val="00D42869"/>
    <w:rsid w:val="00DB39E3"/>
    <w:rsid w:val="00DD7802"/>
    <w:rsid w:val="00F05C51"/>
    <w:rsid w:val="00F448C5"/>
    <w:rsid w:val="00FF0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ECF4"/>
  <w15:docId w15:val="{F2B4AB23-CF5B-41D7-9E58-7B6F03A4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035"/>
    <w:pPr>
      <w:ind w:left="720"/>
      <w:contextualSpacing/>
    </w:pPr>
  </w:style>
  <w:style w:type="paragraph" w:styleId="NormalWeb">
    <w:name w:val="Normal (Web)"/>
    <w:basedOn w:val="Normal"/>
    <w:uiPriority w:val="99"/>
    <w:unhideWhenUsed/>
    <w:rsid w:val="00D11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1">
    <w:name w:val="A1"/>
    <w:uiPriority w:val="99"/>
    <w:rsid w:val="008F0B28"/>
    <w:rPr>
      <w:rFonts w:cs="Helvetica Neue"/>
      <w:color w:val="000000"/>
      <w:sz w:val="22"/>
      <w:szCs w:val="22"/>
    </w:rPr>
  </w:style>
  <w:style w:type="paragraph" w:styleId="BalloonText">
    <w:name w:val="Balloon Text"/>
    <w:basedOn w:val="Normal"/>
    <w:link w:val="BalloonTextChar"/>
    <w:uiPriority w:val="99"/>
    <w:semiHidden/>
    <w:unhideWhenUsed/>
    <w:rsid w:val="00A569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9FC"/>
    <w:rPr>
      <w:rFonts w:ascii="Tahoma" w:hAnsi="Tahoma" w:cs="Tahoma"/>
      <w:sz w:val="16"/>
      <w:szCs w:val="16"/>
    </w:rPr>
  </w:style>
  <w:style w:type="paragraph" w:styleId="NoSpacing">
    <w:name w:val="No Spacing"/>
    <w:uiPriority w:val="99"/>
    <w:qFormat/>
    <w:rsid w:val="00780EFD"/>
    <w:pPr>
      <w:spacing w:after="0" w:line="240" w:lineRule="auto"/>
    </w:pPr>
  </w:style>
  <w:style w:type="character" w:styleId="Strong">
    <w:name w:val="Strong"/>
    <w:basedOn w:val="DefaultParagraphFont"/>
    <w:uiPriority w:val="22"/>
    <w:qFormat/>
    <w:rsid w:val="00964B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655001">
      <w:bodyDiv w:val="1"/>
      <w:marLeft w:val="0"/>
      <w:marRight w:val="0"/>
      <w:marTop w:val="0"/>
      <w:marBottom w:val="0"/>
      <w:divBdr>
        <w:top w:val="none" w:sz="0" w:space="0" w:color="auto"/>
        <w:left w:val="none" w:sz="0" w:space="0" w:color="auto"/>
        <w:bottom w:val="none" w:sz="0" w:space="0" w:color="auto"/>
        <w:right w:val="none" w:sz="0" w:space="0" w:color="auto"/>
      </w:divBdr>
    </w:div>
    <w:div w:id="187349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tmp"/><Relationship Id="rId4" Type="http://schemas.openxmlformats.org/officeDocument/2006/relationships/numbering" Target="numbering.xml"/><Relationship Id="rId9" Type="http://schemas.openxmlformats.org/officeDocument/2006/relationships/image" Target="media/image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728d4edd927e9eac6d9b8a76ae03b2a8">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21d0ed236aba78853914188ec4a42e1"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34a34f2-caa8-4ed2-888c-9eb95e114116}"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71808-87CE-414D-AAF8-8D4A91C8A423}">
  <ds:schemaRefs>
    <ds:schemaRef ds:uri="http://schemas.microsoft.com/sharepoint/v3/contenttype/forms"/>
  </ds:schemaRefs>
</ds:datastoreItem>
</file>

<file path=customXml/itemProps2.xml><?xml version="1.0" encoding="utf-8"?>
<ds:datastoreItem xmlns:ds="http://schemas.openxmlformats.org/officeDocument/2006/customXml" ds:itemID="{46A5E6D1-BE33-48C2-AAF0-2D13A7649D8D}">
  <ds:schemaRefs>
    <ds:schemaRef ds:uri="http://schemas.microsoft.com/office/2006/metadata/properties"/>
    <ds:schemaRef ds:uri="http://schemas.microsoft.com/office/infopath/2007/PartnerControls"/>
    <ds:schemaRef ds:uri="9e8e42b2-a0c8-4a4b-b0e4-153721fe2f8f"/>
    <ds:schemaRef ds:uri="0d566573-0b88-43c5-9f32-21becdd39fe7"/>
  </ds:schemaRefs>
</ds:datastoreItem>
</file>

<file path=customXml/itemProps3.xml><?xml version="1.0" encoding="utf-8"?>
<ds:datastoreItem xmlns:ds="http://schemas.openxmlformats.org/officeDocument/2006/customXml" ds:itemID="{373084C9-D41E-4866-A233-C54C53AA2848}"/>
</file>

<file path=docProps/app.xml><?xml version="1.0" encoding="utf-8"?>
<Properties xmlns="http://schemas.openxmlformats.org/officeDocument/2006/extended-properties" xmlns:vt="http://schemas.openxmlformats.org/officeDocument/2006/docPropsVTypes">
  <Template>Normal</Template>
  <TotalTime>0</TotalTime>
  <Pages>3</Pages>
  <Words>894</Words>
  <Characters>5099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Thameside (Head)</dc:creator>
  <cp:lastModifiedBy>Mrs R Thomas</cp:lastModifiedBy>
  <cp:revision>2</cp:revision>
  <dcterms:created xsi:type="dcterms:W3CDTF">2025-06-06T13:03:00Z</dcterms:created>
  <dcterms:modified xsi:type="dcterms:W3CDTF">2025-06-06T13:03:00Z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9853600</vt:r8>
  </property>
  <property fmtid="{D5CDD505-2E9C-101B-9397-08002B2CF9AE}" pid="4" name="MediaServiceImageTags">
    <vt:lpwstr/>
  </property>
</Properties>
</file>